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C6C3" w14:textId="3CC24F95" w:rsidR="00354C20" w:rsidRPr="00B77F61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38"/>
          <w:szCs w:val="38"/>
          <w:lang w:eastAsia="it-IT"/>
        </w:rPr>
      </w:pPr>
      <w:r w:rsidRPr="00B77F61">
        <w:rPr>
          <w:rFonts w:ascii="Titillium Web" w:eastAsia="Times New Roman" w:hAnsi="Titillium Web" w:cs="Arial"/>
          <w:b/>
          <w:bCs/>
          <w:color w:val="000099"/>
          <w:sz w:val="38"/>
          <w:szCs w:val="38"/>
          <w:lang w:eastAsia="it-IT"/>
        </w:rPr>
        <w:t>Cittadinanza per naturalizzazione</w:t>
      </w:r>
    </w:p>
    <w:p w14:paraId="5D9FAD92" w14:textId="3629CF1A" w:rsidR="00354C20" w:rsidRPr="00354C20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L’Ufficio di Stato Civile si occupa di trascrivere nei propri registri tutti i decreti di concessione, acquisto, perdita e riacquisto della cittadinanza italiana.</w:t>
      </w:r>
    </w:p>
    <w:p w14:paraId="51D2A3D6" w14:textId="77777777" w:rsidR="00354C20" w:rsidRPr="00354C20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La legge n. 91 del 05.02.1992 regola tutte le casistiche e le possibilità per acquisire la cittadinanza italiana.</w:t>
      </w:r>
    </w:p>
    <w:p w14:paraId="1FC3A230" w14:textId="1863D70E" w:rsidR="00354C20" w:rsidRPr="00354C20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Per richiedere la cittadinanza italiana, l’interessato deve presentare istanza alla Prefettura di competenza per residenza.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Le informazioni riguardo i requisiti, la documentazione da presentare, la tempistica, 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i 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costi, ecc. sono reperibili sul sito: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</w:t>
      </w:r>
      <w:hyperlink r:id="rId5" w:history="1">
        <w:r w:rsidR="00602B65" w:rsidRPr="00D5607E">
          <w:rPr>
            <w:rStyle w:val="Collegamentoipertestuale"/>
            <w:rFonts w:ascii="Titillium Web" w:eastAsia="Times New Roman" w:hAnsi="Titillium Web" w:cs="Arial"/>
            <w:sz w:val="26"/>
            <w:szCs w:val="26"/>
            <w:lang w:eastAsia="it-IT"/>
          </w:rPr>
          <w:t>http://www.prefettura.it/bergamo/contenuti/Cittadinanza-1809.htm</w:t>
        </w:r>
      </w:hyperlink>
    </w:p>
    <w:p w14:paraId="6AF1428E" w14:textId="77777777" w:rsidR="00602B65" w:rsidRDefault="00602B65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</w:p>
    <w:p w14:paraId="2F31C1FD" w14:textId="1F6CB01A" w:rsidR="00354C20" w:rsidRPr="00354C20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Al termine del procedimento svolto dalla Prefettura/Ministero dell’Interno, il Presidente della Repubblica emana un Decreto di concessione di cittadinanza italiana che verrà trasmesso al </w:t>
      </w:r>
      <w:r w:rsidR="00E67D3C">
        <w:rPr>
          <w:rFonts w:ascii="Titillium Web" w:eastAsia="Times New Roman" w:hAnsi="Titillium Web" w:cs="Arial"/>
          <w:sz w:val="26"/>
          <w:szCs w:val="26"/>
          <w:lang w:eastAsia="it-IT"/>
        </w:rPr>
        <w:t>C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omune di residenza.</w:t>
      </w:r>
    </w:p>
    <w:p w14:paraId="4255FEB7" w14:textId="258FCF1C" w:rsidR="00602B65" w:rsidRPr="00354C20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L’interessato verrà c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>ontattato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dall’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>U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fficio </w:t>
      </w:r>
      <w:r w:rsidR="001C779E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Servizi Demografici 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del </w:t>
      </w:r>
      <w:r w:rsidR="00E67D3C">
        <w:rPr>
          <w:rFonts w:ascii="Titillium Web" w:eastAsia="Times New Roman" w:hAnsi="Titillium Web" w:cs="Arial"/>
          <w:sz w:val="26"/>
          <w:szCs w:val="26"/>
          <w:lang w:eastAsia="it-IT"/>
        </w:rPr>
        <w:t>C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>omune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per la consegna del </w:t>
      </w:r>
      <w:r w:rsidR="00E67D3C">
        <w:rPr>
          <w:rFonts w:ascii="Titillium Web" w:eastAsia="Times New Roman" w:hAnsi="Titillium Web" w:cs="Arial"/>
          <w:sz w:val="26"/>
          <w:szCs w:val="26"/>
          <w:lang w:eastAsia="it-IT"/>
        </w:rPr>
        <w:t>Decreto e iniziare la procedura per la prestazione del giuramento. I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l cittadino dovrà </w:t>
      </w:r>
      <w:r w:rsidR="00602B65">
        <w:rPr>
          <w:rFonts w:ascii="Titillium Web" w:eastAsia="Times New Roman" w:hAnsi="Titillium Web" w:cs="Arial"/>
          <w:sz w:val="26"/>
          <w:szCs w:val="26"/>
          <w:lang w:eastAsia="it-IT"/>
        </w:rPr>
        <w:t>consegnare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: </w:t>
      </w:r>
    </w:p>
    <w:p w14:paraId="04ECF133" w14:textId="70224307" w:rsidR="00602B65" w:rsidRPr="00602B65" w:rsidRDefault="00602B65" w:rsidP="00602B65">
      <w:pPr>
        <w:pStyle w:val="Paragrafoelenco"/>
        <w:numPr>
          <w:ilvl w:val="0"/>
          <w:numId w:val="1"/>
        </w:num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>
        <w:rPr>
          <w:rFonts w:ascii="Titillium Web" w:eastAsia="Times New Roman" w:hAnsi="Titillium Web" w:cs="Arial"/>
          <w:sz w:val="26"/>
          <w:szCs w:val="26"/>
          <w:lang w:eastAsia="it-IT"/>
        </w:rPr>
        <w:t>Una marca da bollo da € 16,00</w:t>
      </w:r>
    </w:p>
    <w:p w14:paraId="6DD575A8" w14:textId="0ADDADD0" w:rsidR="00602B65" w:rsidRDefault="00602B65" w:rsidP="00602B65">
      <w:pPr>
        <w:pStyle w:val="Paragrafoelenco"/>
        <w:numPr>
          <w:ilvl w:val="0"/>
          <w:numId w:val="1"/>
        </w:num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>
        <w:rPr>
          <w:rFonts w:ascii="Titillium Web" w:eastAsia="Times New Roman" w:hAnsi="Titillium Web" w:cs="Arial"/>
          <w:sz w:val="26"/>
          <w:szCs w:val="26"/>
          <w:lang w:eastAsia="it-IT"/>
        </w:rPr>
        <w:t>Atto di nascita originale tradotto</w:t>
      </w:r>
      <w:r w:rsidR="00F5076C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, 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legalizzato e apostillato 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dall’Ambasciata italiana all’estero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per la trascrizione nei registri di nasciti italiani</w:t>
      </w:r>
    </w:p>
    <w:p w14:paraId="5379631C" w14:textId="43A4295C" w:rsidR="009D0C95" w:rsidRDefault="00602B65" w:rsidP="009D0C95">
      <w:pPr>
        <w:pStyle w:val="Paragrafoelenco"/>
        <w:numPr>
          <w:ilvl w:val="0"/>
          <w:numId w:val="1"/>
        </w:num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Eventuale 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atto di matrimonio, sentenza di divorzio, atto 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di 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morte del coniuge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>: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original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i, 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tradott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>i, l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egalizzat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>i e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apostillat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>i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dall’Ambasciata italiana all’estero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per la trascrizione nei registri di matrimonio italiani.</w:t>
      </w:r>
    </w:p>
    <w:p w14:paraId="29B4BCBD" w14:textId="77777777" w:rsidR="00E67D3C" w:rsidRDefault="00E67D3C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</w:p>
    <w:p w14:paraId="164DC115" w14:textId="0B3A92C4" w:rsidR="001C779E" w:rsidRDefault="00354C20" w:rsidP="001C779E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lastRenderedPageBreak/>
        <w:t>Figli minor</w:t>
      </w:r>
      <w:r w:rsidR="00CF16B3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>enni</w:t>
      </w:r>
    </w:p>
    <w:p w14:paraId="75183A46" w14:textId="67239A2C" w:rsidR="00E67D3C" w:rsidRPr="001C779E" w:rsidRDefault="00354C20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Anche i figli minor</w:t>
      </w:r>
      <w:r w:rsidR="00CF16B3">
        <w:rPr>
          <w:rFonts w:ascii="Titillium Web" w:eastAsia="Times New Roman" w:hAnsi="Titillium Web" w:cs="Arial"/>
          <w:sz w:val="26"/>
          <w:szCs w:val="26"/>
          <w:lang w:eastAsia="it-IT"/>
        </w:rPr>
        <w:t>enni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residenti in Italia e conviventi con il neocittadino italiano acquisiscono la cittadinanza. </w:t>
      </w:r>
      <w:r w:rsidR="001C779E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La procedura e i documenti da consegnare verranno comunicati dall’</w:t>
      </w:r>
      <w:r w:rsidR="00E67D3C">
        <w:rPr>
          <w:rFonts w:ascii="Titillium Web" w:eastAsia="Times New Roman" w:hAnsi="Titillium Web" w:cs="Arial"/>
          <w:sz w:val="26"/>
          <w:szCs w:val="26"/>
          <w:lang w:eastAsia="it-IT"/>
        </w:rPr>
        <w:t>U</w:t>
      </w:r>
      <w:r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fficio </w:t>
      </w:r>
      <w:r w:rsidR="001C779E" w:rsidRPr="001C779E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dell’Ufficio Servizi Demografici. </w:t>
      </w:r>
    </w:p>
    <w:p w14:paraId="2C9A6CEE" w14:textId="77777777" w:rsidR="00E67D3C" w:rsidRDefault="00E67D3C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</w:p>
    <w:p w14:paraId="07835212" w14:textId="08CB779D" w:rsidR="00E67D3C" w:rsidRPr="00E67D3C" w:rsidRDefault="00E67D3C" w:rsidP="00354C20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E67D3C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>Consegna permesso di soggiorno e carta d’identità</w:t>
      </w:r>
    </w:p>
    <w:p w14:paraId="142DE74E" w14:textId="3F9661E4" w:rsidR="001C779E" w:rsidRDefault="00E67D3C" w:rsidP="001C779E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>
        <w:rPr>
          <w:rFonts w:ascii="Titillium Web" w:eastAsia="Times New Roman" w:hAnsi="Titillium Web" w:cs="Arial"/>
          <w:sz w:val="26"/>
          <w:szCs w:val="26"/>
          <w:lang w:eastAsia="it-IT"/>
        </w:rPr>
        <w:t>In seguito alla prestazione del giuramento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, </w:t>
      </w:r>
      <w:r w:rsidR="001C779E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>il neocittadino italiano</w:t>
      </w:r>
      <w:r w:rsidR="00354C20" w:rsidRPr="00354C20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dovrà</w:t>
      </w:r>
      <w:r w:rsidR="001C779E">
        <w:rPr>
          <w:rFonts w:ascii="Titillium Web" w:eastAsia="Times New Roman" w:hAnsi="Titillium Web" w:cs="Arial"/>
          <w:sz w:val="26"/>
          <w:szCs w:val="26"/>
          <w:lang w:eastAsia="it-IT"/>
        </w:rPr>
        <w:t>:</w:t>
      </w:r>
    </w:p>
    <w:p w14:paraId="29714F27" w14:textId="5328AB23" w:rsidR="001C779E" w:rsidRDefault="001C779E" w:rsidP="001C779E">
      <w:pPr>
        <w:pStyle w:val="Paragrafoelenco"/>
        <w:numPr>
          <w:ilvl w:val="0"/>
          <w:numId w:val="3"/>
        </w:num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>
        <w:rPr>
          <w:rFonts w:ascii="Titillium Web" w:eastAsia="Times New Roman" w:hAnsi="Titillium Web" w:cs="Arial"/>
          <w:sz w:val="26"/>
          <w:szCs w:val="26"/>
          <w:lang w:eastAsia="it-IT"/>
        </w:rPr>
        <w:t>consegnare il permesso di soggiorno per l’inoltro dello stesso alla Questura</w:t>
      </w:r>
    </w:p>
    <w:p w14:paraId="1FEA7D31" w14:textId="4574DFBB" w:rsidR="00354C20" w:rsidRPr="001C779E" w:rsidRDefault="001C779E" w:rsidP="001C779E">
      <w:pPr>
        <w:pStyle w:val="Paragrafoelenco"/>
        <w:numPr>
          <w:ilvl w:val="0"/>
          <w:numId w:val="3"/>
        </w:num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>
        <w:rPr>
          <w:rFonts w:ascii="Titillium Web" w:eastAsia="Times New Roman" w:hAnsi="Titillium Web" w:cs="Arial"/>
          <w:sz w:val="26"/>
          <w:szCs w:val="26"/>
          <w:lang w:eastAsia="it-IT"/>
        </w:rPr>
        <w:t>r</w:t>
      </w:r>
      <w:r w:rsidR="00354C20" w:rsidRPr="001C779E">
        <w:rPr>
          <w:rFonts w:ascii="Titillium Web" w:eastAsia="Times New Roman" w:hAnsi="Titillium Web" w:cs="Arial"/>
          <w:sz w:val="26"/>
          <w:szCs w:val="26"/>
          <w:lang w:eastAsia="it-IT"/>
        </w:rPr>
        <w:t>ifare la carta d’identità</w:t>
      </w:r>
      <w:r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fissando appuntamento</w:t>
      </w:r>
      <w:r w:rsidR="00E67D3C" w:rsidRPr="001C779E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 con il personale dell’Ufficio Servizi Demografici. </w:t>
      </w:r>
    </w:p>
    <w:p w14:paraId="7143E8EF" w14:textId="25517384" w:rsidR="00890A20" w:rsidRDefault="00890A20" w:rsidP="00354C20">
      <w:pPr>
        <w:spacing w:after="0" w:line="360" w:lineRule="auto"/>
        <w:rPr>
          <w:rFonts w:ascii="Titillium Web" w:hAnsi="Titillium Web"/>
          <w:sz w:val="26"/>
          <w:szCs w:val="26"/>
        </w:rPr>
      </w:pPr>
    </w:p>
    <w:p w14:paraId="40C96280" w14:textId="75D80E81" w:rsidR="00890A20" w:rsidRPr="00890A20" w:rsidRDefault="00890A20" w:rsidP="00354C20">
      <w:pPr>
        <w:spacing w:after="0" w:line="360" w:lineRule="auto"/>
        <w:rPr>
          <w:rFonts w:ascii="Titillium Web" w:hAnsi="Titillium Web"/>
          <w:b/>
          <w:bCs/>
          <w:color w:val="000099"/>
          <w:sz w:val="26"/>
          <w:szCs w:val="26"/>
        </w:rPr>
      </w:pPr>
      <w:r w:rsidRPr="00890A20">
        <w:rPr>
          <w:rFonts w:ascii="Titillium Web" w:hAnsi="Titillium Web"/>
          <w:b/>
          <w:bCs/>
          <w:color w:val="000099"/>
          <w:sz w:val="26"/>
          <w:szCs w:val="26"/>
        </w:rPr>
        <w:t>Tempo e Scadenze</w:t>
      </w:r>
    </w:p>
    <w:p w14:paraId="381A6531" w14:textId="7303BBAE" w:rsidR="00DA7898" w:rsidRDefault="00890A20" w:rsidP="00354C20">
      <w:pPr>
        <w:spacing w:after="0" w:line="360" w:lineRule="auto"/>
        <w:rPr>
          <w:rFonts w:ascii="Titillium Web" w:hAnsi="Titillium Web"/>
          <w:sz w:val="26"/>
          <w:szCs w:val="26"/>
        </w:rPr>
      </w:pPr>
      <w:r w:rsidRPr="00890A20">
        <w:rPr>
          <w:rFonts w:ascii="Titillium Web" w:hAnsi="Titillium Web"/>
          <w:sz w:val="26"/>
          <w:szCs w:val="26"/>
        </w:rPr>
        <w:t xml:space="preserve">A partire dalla data di emissione del decreto il giuramento davanti al Sindaco deve avvenire entro </w:t>
      </w:r>
      <w:proofErr w:type="gramStart"/>
      <w:r w:rsidRPr="00890A20">
        <w:rPr>
          <w:rFonts w:ascii="Titillium Web" w:hAnsi="Titillium Web"/>
          <w:sz w:val="26"/>
          <w:szCs w:val="26"/>
        </w:rPr>
        <w:t>6</w:t>
      </w:r>
      <w:proofErr w:type="gramEnd"/>
      <w:r w:rsidRPr="00890A20">
        <w:rPr>
          <w:rFonts w:ascii="Titillium Web" w:hAnsi="Titillium Web"/>
          <w:sz w:val="26"/>
          <w:szCs w:val="26"/>
        </w:rPr>
        <w:t xml:space="preserve"> mesi</w:t>
      </w:r>
    </w:p>
    <w:p w14:paraId="1C3D3415" w14:textId="77777777" w:rsidR="00890A20" w:rsidRDefault="00890A20" w:rsidP="00354C20">
      <w:pPr>
        <w:spacing w:after="0" w:line="360" w:lineRule="auto"/>
        <w:rPr>
          <w:rFonts w:ascii="Titillium Web" w:hAnsi="Titillium Web"/>
          <w:sz w:val="26"/>
          <w:szCs w:val="26"/>
        </w:rPr>
      </w:pPr>
    </w:p>
    <w:p w14:paraId="6F9185AE" w14:textId="5D745426" w:rsidR="00354C20" w:rsidRDefault="00354C20" w:rsidP="00354C20">
      <w:pPr>
        <w:spacing w:after="0" w:line="360" w:lineRule="auto"/>
        <w:rPr>
          <w:rFonts w:ascii="Titillium Web" w:hAnsi="Titillium Web"/>
          <w:b/>
          <w:bCs/>
          <w:color w:val="000099"/>
          <w:sz w:val="26"/>
          <w:szCs w:val="26"/>
        </w:rPr>
      </w:pPr>
      <w:r w:rsidRPr="00354C20">
        <w:rPr>
          <w:rFonts w:ascii="Titillium Web" w:hAnsi="Titillium Web"/>
          <w:b/>
          <w:bCs/>
          <w:color w:val="000099"/>
          <w:sz w:val="26"/>
          <w:szCs w:val="26"/>
        </w:rPr>
        <w:t>Contatti</w:t>
      </w:r>
      <w:r>
        <w:rPr>
          <w:rFonts w:ascii="Titillium Web" w:hAnsi="Titillium Web"/>
          <w:b/>
          <w:bCs/>
          <w:color w:val="000099"/>
          <w:sz w:val="26"/>
          <w:szCs w:val="26"/>
        </w:rPr>
        <w:t xml:space="preserve"> di riferimento</w:t>
      </w:r>
    </w:p>
    <w:p w14:paraId="52CD1171" w14:textId="3A03AAAC" w:rsidR="00354C20" w:rsidRPr="008E2F71" w:rsidRDefault="00354C20" w:rsidP="00354C20">
      <w:pPr>
        <w:spacing w:after="0" w:line="360" w:lineRule="auto"/>
        <w:rPr>
          <w:rFonts w:ascii="Titillium Web" w:hAnsi="Titillium Web"/>
          <w:sz w:val="26"/>
          <w:szCs w:val="26"/>
        </w:rPr>
      </w:pPr>
      <w:r w:rsidRPr="008E2F71">
        <w:rPr>
          <w:rFonts w:ascii="Titillium Web" w:hAnsi="Titillium Web"/>
          <w:b/>
          <w:bCs/>
          <w:sz w:val="26"/>
          <w:szCs w:val="26"/>
        </w:rPr>
        <w:t>Telefono</w:t>
      </w:r>
      <w:r w:rsidR="008E2F71">
        <w:rPr>
          <w:rFonts w:ascii="Titillium Web" w:hAnsi="Titillium Web"/>
          <w:b/>
          <w:bCs/>
          <w:sz w:val="26"/>
          <w:szCs w:val="26"/>
        </w:rPr>
        <w:t>:</w:t>
      </w:r>
      <w:r w:rsidRPr="008E2F71">
        <w:rPr>
          <w:rFonts w:ascii="Titillium Web" w:hAnsi="Titillium Web"/>
          <w:sz w:val="26"/>
          <w:szCs w:val="26"/>
        </w:rPr>
        <w:t xml:space="preserve"> 035.6321111 interno 2</w:t>
      </w:r>
    </w:p>
    <w:p w14:paraId="4BEF477C" w14:textId="24A4DF92" w:rsidR="00354C20" w:rsidRPr="008E2F71" w:rsidRDefault="00354C20" w:rsidP="00354C20">
      <w:pPr>
        <w:spacing w:after="0" w:line="360" w:lineRule="auto"/>
        <w:rPr>
          <w:rFonts w:ascii="Titillium Web" w:hAnsi="Titillium Web"/>
          <w:b/>
          <w:bCs/>
          <w:sz w:val="26"/>
          <w:szCs w:val="26"/>
        </w:rPr>
      </w:pPr>
      <w:r w:rsidRPr="008E2F71">
        <w:rPr>
          <w:rFonts w:ascii="Titillium Web" w:hAnsi="Titillium Web"/>
          <w:b/>
          <w:bCs/>
          <w:sz w:val="26"/>
          <w:szCs w:val="26"/>
        </w:rPr>
        <w:t>E-mail</w:t>
      </w:r>
      <w:r w:rsidR="008E2F71" w:rsidRPr="008E2F71">
        <w:rPr>
          <w:rFonts w:ascii="Titillium Web" w:hAnsi="Titillium Web"/>
          <w:b/>
          <w:bCs/>
          <w:sz w:val="26"/>
          <w:szCs w:val="26"/>
        </w:rPr>
        <w:t xml:space="preserve">: </w:t>
      </w:r>
      <w:hyperlink r:id="rId6" w:history="1">
        <w:r w:rsidR="008E2F71" w:rsidRPr="008E2F71">
          <w:rPr>
            <w:rStyle w:val="Collegamentoipertestuale"/>
            <w:rFonts w:ascii="Titillium Web" w:hAnsi="Titillium Web"/>
            <w:sz w:val="26"/>
            <w:szCs w:val="26"/>
          </w:rPr>
          <w:t>anagrafe@comune.villadalme.bg.it</w:t>
        </w:r>
      </w:hyperlink>
      <w:r w:rsidR="008E2F71">
        <w:rPr>
          <w:rFonts w:ascii="Titillium Web" w:hAnsi="Titillium Web"/>
          <w:b/>
          <w:bCs/>
          <w:sz w:val="26"/>
          <w:szCs w:val="26"/>
        </w:rPr>
        <w:t xml:space="preserve"> </w:t>
      </w:r>
    </w:p>
    <w:sectPr w:rsidR="00354C20" w:rsidRPr="008E2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F4F83"/>
    <w:multiLevelType w:val="hybridMultilevel"/>
    <w:tmpl w:val="1B6C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502F9"/>
    <w:multiLevelType w:val="hybridMultilevel"/>
    <w:tmpl w:val="55AC0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D6ABD"/>
    <w:multiLevelType w:val="hybridMultilevel"/>
    <w:tmpl w:val="9C4ECB38"/>
    <w:lvl w:ilvl="0" w:tplc="9ED6EEAA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8572">
    <w:abstractNumId w:val="0"/>
  </w:num>
  <w:num w:numId="2" w16cid:durableId="2106920879">
    <w:abstractNumId w:val="2"/>
  </w:num>
  <w:num w:numId="3" w16cid:durableId="129062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BD"/>
    <w:rsid w:val="001C779E"/>
    <w:rsid w:val="00354C20"/>
    <w:rsid w:val="00602B65"/>
    <w:rsid w:val="00890A20"/>
    <w:rsid w:val="008E2F71"/>
    <w:rsid w:val="009D0C95"/>
    <w:rsid w:val="00A853BD"/>
    <w:rsid w:val="00B62A27"/>
    <w:rsid w:val="00B77F61"/>
    <w:rsid w:val="00CF16B3"/>
    <w:rsid w:val="00DA7898"/>
    <w:rsid w:val="00E67D3C"/>
    <w:rsid w:val="00F5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0A15"/>
  <w15:chartTrackingRefBased/>
  <w15:docId w15:val="{7EACF755-7C28-4A92-8BA9-3D467419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C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4C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4C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villadalme.bg.it" TargetMode="External"/><Relationship Id="rId5" Type="http://schemas.openxmlformats.org/officeDocument/2006/relationships/hyperlink" Target="http://www.prefettura.it/bergamo/contenuti/Cittadinanza-180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Minelli</dc:creator>
  <cp:keywords/>
  <dc:description/>
  <cp:lastModifiedBy>Sara Minelli</cp:lastModifiedBy>
  <cp:revision>11</cp:revision>
  <dcterms:created xsi:type="dcterms:W3CDTF">2023-03-21T13:19:00Z</dcterms:created>
  <dcterms:modified xsi:type="dcterms:W3CDTF">2023-03-24T09:06:00Z</dcterms:modified>
</cp:coreProperties>
</file>