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688DA" w14:textId="5C8B5E82" w:rsidR="00510176" w:rsidRPr="00510176" w:rsidRDefault="00510176" w:rsidP="002C2E21">
      <w:pPr>
        <w:spacing w:after="0" w:line="360" w:lineRule="auto"/>
        <w:jc w:val="both"/>
        <w:rPr>
          <w:rFonts w:ascii="Titillium Web" w:eastAsia="Times New Roman" w:hAnsi="Titillium Web" w:cs="Times New Roman"/>
          <w:b/>
          <w:bCs/>
          <w:color w:val="000099"/>
          <w:sz w:val="38"/>
          <w:szCs w:val="38"/>
          <w:lang w:eastAsia="it-IT"/>
        </w:rPr>
      </w:pPr>
      <w:r w:rsidRPr="00510176">
        <w:rPr>
          <w:rFonts w:ascii="Titillium Web" w:eastAsia="Times New Roman" w:hAnsi="Titillium Web" w:cs="Times New Roman"/>
          <w:b/>
          <w:bCs/>
          <w:color w:val="000099"/>
          <w:sz w:val="38"/>
          <w:szCs w:val="38"/>
          <w:lang w:eastAsia="it-IT"/>
        </w:rPr>
        <w:t>Separazioni e Divorzi</w:t>
      </w:r>
    </w:p>
    <w:p w14:paraId="24A934CD" w14:textId="1D0C91E4" w:rsidR="00543408" w:rsidRPr="00EC3922" w:rsidRDefault="00543408" w:rsidP="003725B0">
      <w:pPr>
        <w:spacing w:after="0" w:line="360" w:lineRule="auto"/>
        <w:ind w:right="-427"/>
        <w:rPr>
          <w:rFonts w:ascii="Titillium Web" w:eastAsia="Times New Roman" w:hAnsi="Titillium Web" w:cs="Times New Roman"/>
          <w:sz w:val="26"/>
          <w:szCs w:val="26"/>
          <w:lang w:eastAsia="it-IT"/>
        </w:rPr>
      </w:pPr>
      <w:r w:rsidRPr="00EC3922">
        <w:rPr>
          <w:rFonts w:ascii="Titillium Web" w:eastAsia="Times New Roman" w:hAnsi="Titillium Web" w:cs="Times New Roman"/>
          <w:sz w:val="26"/>
          <w:szCs w:val="26"/>
          <w:lang w:eastAsia="it-IT"/>
        </w:rPr>
        <w:t xml:space="preserve">Dall'11 dicembre 2014, data di entrata in vigore dell'art. 12 della legge 162/2014, i coniugi possono comparire di fronte all’Ufficiale dello Stato Civile del Comune per concludere un accordo di separazione, divorzio o di modifica delle precedenti condizioni di separazione o </w:t>
      </w:r>
      <w:r w:rsidR="00494D64">
        <w:rPr>
          <w:rFonts w:ascii="Titillium Web" w:eastAsia="Times New Roman" w:hAnsi="Titillium Web" w:cs="Times New Roman"/>
          <w:sz w:val="26"/>
          <w:szCs w:val="26"/>
          <w:lang w:eastAsia="it-IT"/>
        </w:rPr>
        <w:t xml:space="preserve">        </w:t>
      </w:r>
      <w:r w:rsidRPr="00EC3922">
        <w:rPr>
          <w:rFonts w:ascii="Titillium Web" w:eastAsia="Times New Roman" w:hAnsi="Titillium Web" w:cs="Times New Roman"/>
          <w:sz w:val="26"/>
          <w:szCs w:val="26"/>
          <w:lang w:eastAsia="it-IT"/>
        </w:rPr>
        <w:t>di</w:t>
      </w:r>
      <w:r w:rsidR="003725B0">
        <w:rPr>
          <w:rFonts w:ascii="Titillium Web" w:eastAsia="Times New Roman" w:hAnsi="Titillium Web" w:cs="Times New Roman"/>
          <w:sz w:val="26"/>
          <w:szCs w:val="26"/>
          <w:lang w:eastAsia="it-IT"/>
        </w:rPr>
        <w:t xml:space="preserve"> </w:t>
      </w:r>
      <w:r w:rsidRPr="00EC3922">
        <w:rPr>
          <w:rFonts w:ascii="Titillium Web" w:eastAsia="Times New Roman" w:hAnsi="Titillium Web" w:cs="Times New Roman"/>
          <w:sz w:val="26"/>
          <w:szCs w:val="26"/>
          <w:lang w:eastAsia="it-IT"/>
        </w:rPr>
        <w:t>divorzio.</w:t>
      </w:r>
      <w:r w:rsidRPr="00EC3922">
        <w:rPr>
          <w:rFonts w:ascii="Titillium Web" w:eastAsia="Times New Roman" w:hAnsi="Titillium Web" w:cs="Times New Roman"/>
          <w:sz w:val="26"/>
          <w:szCs w:val="26"/>
          <w:lang w:eastAsia="it-IT"/>
        </w:rPr>
        <w:br/>
        <w:t>La richiesta può essere presentata presso:</w:t>
      </w:r>
    </w:p>
    <w:p w14:paraId="0A5B55B9" w14:textId="77777777" w:rsidR="00543408" w:rsidRPr="00EC3922" w:rsidRDefault="00543408" w:rsidP="002C2E21">
      <w:pPr>
        <w:numPr>
          <w:ilvl w:val="0"/>
          <w:numId w:val="4"/>
        </w:numPr>
        <w:spacing w:after="0" w:line="360" w:lineRule="auto"/>
        <w:jc w:val="both"/>
        <w:rPr>
          <w:rFonts w:ascii="Titillium Web" w:eastAsia="Times New Roman" w:hAnsi="Titillium Web" w:cs="Times New Roman"/>
          <w:sz w:val="26"/>
          <w:szCs w:val="26"/>
          <w:lang w:eastAsia="it-IT"/>
        </w:rPr>
      </w:pPr>
      <w:r w:rsidRPr="00EC3922">
        <w:rPr>
          <w:rFonts w:ascii="Titillium Web" w:eastAsia="Times New Roman" w:hAnsi="Titillium Web" w:cs="Times New Roman"/>
          <w:sz w:val="26"/>
          <w:szCs w:val="26"/>
          <w:lang w:eastAsia="it-IT"/>
        </w:rPr>
        <w:t>il Comune di residenza di uno dei due coniugi;</w:t>
      </w:r>
    </w:p>
    <w:p w14:paraId="6CF444FD" w14:textId="77777777" w:rsidR="00543408" w:rsidRPr="00EC3922" w:rsidRDefault="00543408" w:rsidP="002C2E21">
      <w:pPr>
        <w:numPr>
          <w:ilvl w:val="0"/>
          <w:numId w:val="4"/>
        </w:numPr>
        <w:spacing w:after="0" w:line="360" w:lineRule="auto"/>
        <w:jc w:val="both"/>
        <w:rPr>
          <w:rFonts w:ascii="Titillium Web" w:eastAsia="Times New Roman" w:hAnsi="Titillium Web" w:cs="Times New Roman"/>
          <w:sz w:val="26"/>
          <w:szCs w:val="26"/>
          <w:lang w:eastAsia="it-IT"/>
        </w:rPr>
      </w:pPr>
      <w:r w:rsidRPr="00EC3922">
        <w:rPr>
          <w:rFonts w:ascii="Titillium Web" w:eastAsia="Times New Roman" w:hAnsi="Titillium Web" w:cs="Times New Roman"/>
          <w:sz w:val="26"/>
          <w:szCs w:val="26"/>
          <w:lang w:eastAsia="it-IT"/>
        </w:rPr>
        <w:t>il Comune dove è stato celebrato il matrimonio;</w:t>
      </w:r>
    </w:p>
    <w:p w14:paraId="7207933F" w14:textId="77777777" w:rsidR="00543408" w:rsidRPr="00EC3922" w:rsidRDefault="00543408" w:rsidP="002C2E21">
      <w:pPr>
        <w:numPr>
          <w:ilvl w:val="0"/>
          <w:numId w:val="4"/>
        </w:numPr>
        <w:spacing w:after="0" w:line="360" w:lineRule="auto"/>
        <w:jc w:val="both"/>
        <w:rPr>
          <w:rFonts w:ascii="Titillium Web" w:eastAsia="Times New Roman" w:hAnsi="Titillium Web" w:cs="Times New Roman"/>
          <w:sz w:val="26"/>
          <w:szCs w:val="26"/>
          <w:lang w:eastAsia="it-IT"/>
        </w:rPr>
      </w:pPr>
      <w:r w:rsidRPr="00EC3922">
        <w:rPr>
          <w:rFonts w:ascii="Titillium Web" w:eastAsia="Times New Roman" w:hAnsi="Titillium Web" w:cs="Times New Roman"/>
          <w:sz w:val="26"/>
          <w:szCs w:val="26"/>
          <w:lang w:eastAsia="it-IT"/>
        </w:rPr>
        <w:t>il Comune dove è stato trascritto il matrimonio celebrato con rito religioso o celebrato all’estero.</w:t>
      </w:r>
    </w:p>
    <w:p w14:paraId="27A8C31C" w14:textId="7BDD8BA9" w:rsidR="00543408" w:rsidRPr="00EC3922" w:rsidRDefault="00543408" w:rsidP="002C2E21">
      <w:pPr>
        <w:spacing w:after="0" w:line="360" w:lineRule="auto"/>
        <w:jc w:val="both"/>
        <w:rPr>
          <w:rFonts w:ascii="Titillium Web" w:eastAsia="Times New Roman" w:hAnsi="Titillium Web" w:cs="Times New Roman"/>
          <w:sz w:val="26"/>
          <w:szCs w:val="26"/>
          <w:lang w:eastAsia="it-IT"/>
        </w:rPr>
      </w:pPr>
      <w:r w:rsidRPr="00EC3922">
        <w:rPr>
          <w:rFonts w:ascii="Titillium Web" w:eastAsia="Times New Roman" w:hAnsi="Titillium Web" w:cs="Times New Roman"/>
          <w:sz w:val="26"/>
          <w:szCs w:val="26"/>
          <w:lang w:eastAsia="it-IT"/>
        </w:rPr>
        <w:t xml:space="preserve">Tale modalità semplificata è a disposizione dei coniugi solo quando non vi sono </w:t>
      </w:r>
      <w:r w:rsidR="002C2E21">
        <w:rPr>
          <w:rFonts w:ascii="Titillium Web" w:eastAsia="Times New Roman" w:hAnsi="Titillium Web" w:cs="Times New Roman"/>
          <w:sz w:val="26"/>
          <w:szCs w:val="26"/>
          <w:lang w:eastAsia="it-IT"/>
        </w:rPr>
        <w:t xml:space="preserve">                             </w:t>
      </w:r>
      <w:r w:rsidRPr="00EC3922">
        <w:rPr>
          <w:rFonts w:ascii="Titillium Web" w:eastAsia="Times New Roman" w:hAnsi="Titillium Web" w:cs="Times New Roman"/>
          <w:sz w:val="26"/>
          <w:szCs w:val="26"/>
          <w:lang w:eastAsia="it-IT"/>
        </w:rPr>
        <w:t>figli della coppia minori, oppure maggiorenni incapaci, o con disabilità grave (art.3,c.3, L.104/1992), o economicamente non autosufficienti.</w:t>
      </w:r>
      <w:r w:rsidR="002C2E21">
        <w:rPr>
          <w:rFonts w:ascii="Titillium Web" w:eastAsia="Times New Roman" w:hAnsi="Titillium Web" w:cs="Times New Roman"/>
          <w:sz w:val="26"/>
          <w:szCs w:val="26"/>
          <w:lang w:eastAsia="it-IT"/>
        </w:rPr>
        <w:t xml:space="preserve"> </w:t>
      </w:r>
      <w:r w:rsidRPr="00EC3922">
        <w:rPr>
          <w:rFonts w:ascii="Titillium Web" w:eastAsia="Times New Roman" w:hAnsi="Titillium Web" w:cs="Times New Roman"/>
          <w:sz w:val="26"/>
          <w:szCs w:val="26"/>
          <w:lang w:eastAsia="it-IT"/>
        </w:rPr>
        <w:t xml:space="preserve">L'accordo non deve contenere patti di trasferimento patrimoniale ne può comprendere la determinazione di </w:t>
      </w:r>
      <w:r w:rsidR="002C2E21">
        <w:rPr>
          <w:rFonts w:ascii="Titillium Web" w:eastAsia="Times New Roman" w:hAnsi="Titillium Web" w:cs="Times New Roman"/>
          <w:sz w:val="26"/>
          <w:szCs w:val="26"/>
          <w:lang w:eastAsia="it-IT"/>
        </w:rPr>
        <w:t xml:space="preserve">                                      </w:t>
      </w:r>
      <w:r w:rsidRPr="00EC3922">
        <w:rPr>
          <w:rFonts w:ascii="Titillium Web" w:eastAsia="Times New Roman" w:hAnsi="Titillium Web" w:cs="Times New Roman"/>
          <w:sz w:val="26"/>
          <w:szCs w:val="26"/>
          <w:lang w:eastAsia="it-IT"/>
        </w:rPr>
        <w:t xml:space="preserve">obbligo di pagamento di una somma di denaro a titolo di assegno periodico </w:t>
      </w:r>
      <w:r w:rsidR="002C2E21">
        <w:rPr>
          <w:rFonts w:ascii="Titillium Web" w:eastAsia="Times New Roman" w:hAnsi="Titillium Web" w:cs="Times New Roman"/>
          <w:sz w:val="26"/>
          <w:szCs w:val="26"/>
          <w:lang w:eastAsia="it-IT"/>
        </w:rPr>
        <w:t xml:space="preserve">                                       </w:t>
      </w:r>
      <w:r w:rsidRPr="00EC3922">
        <w:rPr>
          <w:rFonts w:ascii="Titillium Web" w:eastAsia="Times New Roman" w:hAnsi="Titillium Web" w:cs="Times New Roman"/>
          <w:sz w:val="26"/>
          <w:szCs w:val="26"/>
          <w:lang w:eastAsia="it-IT"/>
        </w:rPr>
        <w:t>(Tar Lazio, Sez. I-ter, sentenza 3 maggio - 7 luglio 2016, n. 7813).</w:t>
      </w:r>
      <w:r w:rsidRPr="00EC3922">
        <w:rPr>
          <w:rFonts w:ascii="Titillium Web" w:eastAsia="Times New Roman" w:hAnsi="Titillium Web" w:cs="Times New Roman"/>
          <w:sz w:val="26"/>
          <w:szCs w:val="26"/>
          <w:lang w:eastAsia="it-IT"/>
        </w:rPr>
        <w:br/>
        <w:t>L’assistenza dell’avvocato è facoltativa.</w:t>
      </w:r>
    </w:p>
    <w:p w14:paraId="39EAA044" w14:textId="77777777" w:rsidR="002C2E21" w:rsidRDefault="002C2E21" w:rsidP="002C2E21">
      <w:pPr>
        <w:spacing w:after="0" w:line="360" w:lineRule="auto"/>
        <w:jc w:val="both"/>
        <w:rPr>
          <w:rFonts w:ascii="Titillium Web" w:eastAsia="Times New Roman" w:hAnsi="Titillium Web" w:cs="Times New Roman"/>
          <w:b/>
          <w:bCs/>
          <w:color w:val="000099"/>
          <w:sz w:val="26"/>
          <w:szCs w:val="26"/>
          <w:lang w:eastAsia="it-IT"/>
        </w:rPr>
      </w:pPr>
    </w:p>
    <w:p w14:paraId="1051E051" w14:textId="627B9406" w:rsidR="00543408" w:rsidRPr="00BC48AE" w:rsidRDefault="00543408" w:rsidP="002C2E21">
      <w:pPr>
        <w:spacing w:after="0" w:line="360" w:lineRule="auto"/>
        <w:jc w:val="both"/>
        <w:rPr>
          <w:rFonts w:ascii="Titillium Web" w:eastAsia="Times New Roman" w:hAnsi="Titillium Web" w:cs="Times New Roman"/>
          <w:color w:val="000099"/>
          <w:sz w:val="26"/>
          <w:szCs w:val="26"/>
          <w:lang w:eastAsia="it-IT"/>
        </w:rPr>
      </w:pPr>
      <w:r w:rsidRPr="00BC48AE">
        <w:rPr>
          <w:rFonts w:ascii="Titillium Web" w:eastAsia="Times New Roman" w:hAnsi="Titillium Web" w:cs="Times New Roman"/>
          <w:b/>
          <w:bCs/>
          <w:color w:val="000099"/>
          <w:sz w:val="26"/>
          <w:szCs w:val="26"/>
          <w:lang w:eastAsia="it-IT"/>
        </w:rPr>
        <w:t>Fase istruttoria</w:t>
      </w:r>
    </w:p>
    <w:p w14:paraId="447534A9" w14:textId="345C366C" w:rsidR="002C2E21" w:rsidRDefault="00543408" w:rsidP="002C2E21">
      <w:pPr>
        <w:spacing w:after="0" w:line="360" w:lineRule="auto"/>
        <w:jc w:val="both"/>
        <w:rPr>
          <w:rFonts w:ascii="Titillium Web" w:eastAsia="Times New Roman" w:hAnsi="Titillium Web" w:cs="Times New Roman"/>
          <w:b/>
          <w:bCs/>
          <w:color w:val="000099"/>
          <w:sz w:val="26"/>
          <w:szCs w:val="26"/>
          <w:lang w:eastAsia="it-IT"/>
        </w:rPr>
      </w:pPr>
      <w:r w:rsidRPr="00EC3922">
        <w:rPr>
          <w:rFonts w:ascii="Titillium Web" w:eastAsia="Times New Roman" w:hAnsi="Titillium Web" w:cs="Times New Roman"/>
          <w:sz w:val="26"/>
          <w:szCs w:val="26"/>
          <w:lang w:eastAsia="it-IT"/>
        </w:rPr>
        <w:t>I coniugi, o uno solo di loro, devono presentarsi all'</w:t>
      </w:r>
      <w:r w:rsidR="002C2E21">
        <w:rPr>
          <w:rFonts w:ascii="Titillium Web" w:eastAsia="Times New Roman" w:hAnsi="Titillium Web" w:cs="Times New Roman"/>
          <w:sz w:val="26"/>
          <w:szCs w:val="26"/>
          <w:lang w:eastAsia="it-IT"/>
        </w:rPr>
        <w:t>U</w:t>
      </w:r>
      <w:r w:rsidRPr="00EC3922">
        <w:rPr>
          <w:rFonts w:ascii="Titillium Web" w:eastAsia="Times New Roman" w:hAnsi="Titillium Web" w:cs="Times New Roman"/>
          <w:sz w:val="26"/>
          <w:szCs w:val="26"/>
          <w:lang w:eastAsia="it-IT"/>
        </w:rPr>
        <w:t xml:space="preserve">fficiale di </w:t>
      </w:r>
      <w:r w:rsidR="002C2E21">
        <w:rPr>
          <w:rFonts w:ascii="Titillium Web" w:eastAsia="Times New Roman" w:hAnsi="Titillium Web" w:cs="Times New Roman"/>
          <w:sz w:val="26"/>
          <w:szCs w:val="26"/>
          <w:lang w:eastAsia="it-IT"/>
        </w:rPr>
        <w:t>S</w:t>
      </w:r>
      <w:r w:rsidRPr="00EC3922">
        <w:rPr>
          <w:rFonts w:ascii="Titillium Web" w:eastAsia="Times New Roman" w:hAnsi="Titillium Web" w:cs="Times New Roman"/>
          <w:sz w:val="26"/>
          <w:szCs w:val="26"/>
          <w:lang w:eastAsia="it-IT"/>
        </w:rPr>
        <w:t xml:space="preserve">tato </w:t>
      </w:r>
      <w:r w:rsidR="002C2E21">
        <w:rPr>
          <w:rFonts w:ascii="Titillium Web" w:eastAsia="Times New Roman" w:hAnsi="Titillium Web" w:cs="Times New Roman"/>
          <w:sz w:val="26"/>
          <w:szCs w:val="26"/>
          <w:lang w:eastAsia="it-IT"/>
        </w:rPr>
        <w:t>C</w:t>
      </w:r>
      <w:r w:rsidRPr="00EC3922">
        <w:rPr>
          <w:rFonts w:ascii="Titillium Web" w:eastAsia="Times New Roman" w:hAnsi="Titillium Web" w:cs="Times New Roman"/>
          <w:sz w:val="26"/>
          <w:szCs w:val="26"/>
          <w:lang w:eastAsia="it-IT"/>
        </w:rPr>
        <w:t>ivile per comunicare l'intenzione di concludere un accordo di separazione o di divorzio o di modifica delle precedenti condizioni di separazione o di divorzio.</w:t>
      </w:r>
    </w:p>
    <w:p w14:paraId="5981CF41" w14:textId="77777777" w:rsidR="002C2E21" w:rsidRDefault="002C2E21" w:rsidP="002C2E21">
      <w:pPr>
        <w:spacing w:after="0" w:line="360" w:lineRule="auto"/>
        <w:jc w:val="both"/>
        <w:rPr>
          <w:rFonts w:ascii="Titillium Web" w:eastAsia="Times New Roman" w:hAnsi="Titillium Web" w:cs="Times New Roman"/>
          <w:b/>
          <w:bCs/>
          <w:color w:val="000099"/>
          <w:sz w:val="26"/>
          <w:szCs w:val="26"/>
          <w:lang w:eastAsia="it-IT"/>
        </w:rPr>
      </w:pPr>
    </w:p>
    <w:p w14:paraId="3CC754D1" w14:textId="4B10AB20" w:rsidR="002C2E21" w:rsidRPr="002C2E21" w:rsidRDefault="002C2E21" w:rsidP="002C2E21">
      <w:pPr>
        <w:spacing w:after="0" w:line="360" w:lineRule="auto"/>
        <w:jc w:val="both"/>
        <w:rPr>
          <w:rFonts w:ascii="Titillium Web" w:eastAsia="Times New Roman" w:hAnsi="Titillium Web" w:cs="Times New Roman"/>
          <w:b/>
          <w:bCs/>
          <w:color w:val="000099"/>
          <w:sz w:val="26"/>
          <w:szCs w:val="26"/>
          <w:lang w:eastAsia="it-IT"/>
        </w:rPr>
      </w:pPr>
      <w:r w:rsidRPr="002C2E21">
        <w:rPr>
          <w:rFonts w:ascii="Titillium Web" w:eastAsia="Times New Roman" w:hAnsi="Titillium Web" w:cs="Times New Roman"/>
          <w:b/>
          <w:bCs/>
          <w:color w:val="000099"/>
          <w:sz w:val="26"/>
          <w:szCs w:val="26"/>
          <w:lang w:eastAsia="it-IT"/>
        </w:rPr>
        <w:lastRenderedPageBreak/>
        <w:t>Modalità di presentazione della domanda di separazione/divorzio</w:t>
      </w:r>
    </w:p>
    <w:p w14:paraId="3017406B" w14:textId="46731083" w:rsidR="00543408" w:rsidRDefault="002C2E21" w:rsidP="002C2E21">
      <w:pPr>
        <w:spacing w:after="0" w:line="360" w:lineRule="auto"/>
        <w:jc w:val="both"/>
        <w:rPr>
          <w:rFonts w:ascii="Titillium Web" w:eastAsia="Times New Roman" w:hAnsi="Titillium Web" w:cs="Times New Roman"/>
          <w:sz w:val="26"/>
          <w:szCs w:val="26"/>
          <w:lang w:eastAsia="it-IT"/>
        </w:rPr>
      </w:pPr>
      <w:r>
        <w:rPr>
          <w:rFonts w:ascii="Titillium Web" w:eastAsia="Times New Roman" w:hAnsi="Titillium Web" w:cs="Times New Roman"/>
          <w:sz w:val="26"/>
          <w:szCs w:val="26"/>
          <w:lang w:eastAsia="it-IT"/>
        </w:rPr>
        <w:t xml:space="preserve">I coniugi devono presentare domanda di separazione/divorzio. E’ necessario dunque scaricare dalla sezione </w:t>
      </w:r>
      <w:r w:rsidRPr="002C2E21">
        <w:rPr>
          <w:rFonts w:ascii="Titillium Web" w:eastAsia="Times New Roman" w:hAnsi="Titillium Web" w:cs="Times New Roman"/>
          <w:i/>
          <w:iCs/>
          <w:sz w:val="26"/>
          <w:szCs w:val="26"/>
          <w:lang w:eastAsia="it-IT"/>
        </w:rPr>
        <w:t>“Documenti – Modulistica”</w:t>
      </w:r>
      <w:r>
        <w:rPr>
          <w:rFonts w:ascii="Titillium Web" w:eastAsia="Times New Roman" w:hAnsi="Titillium Web" w:cs="Times New Roman"/>
          <w:sz w:val="26"/>
          <w:szCs w:val="26"/>
          <w:lang w:eastAsia="it-IT"/>
        </w:rPr>
        <w:t xml:space="preserve"> o ritirare presso l’Ufficio Servizi Demografici nei giorni e orari di apertura i seguenti moduli:</w:t>
      </w:r>
    </w:p>
    <w:p w14:paraId="474D5252" w14:textId="77777777" w:rsidR="002C2E21" w:rsidRPr="002C2E21" w:rsidRDefault="002C2E21" w:rsidP="002C2E21">
      <w:pPr>
        <w:spacing w:after="0" w:line="360" w:lineRule="auto"/>
        <w:jc w:val="both"/>
        <w:rPr>
          <w:rFonts w:ascii="Titillium Web" w:eastAsia="Times New Roman" w:hAnsi="Titillium Web" w:cs="Times New Roman"/>
          <w:sz w:val="6"/>
          <w:szCs w:val="6"/>
          <w:lang w:eastAsia="it-IT"/>
        </w:rPr>
      </w:pPr>
    </w:p>
    <w:p w14:paraId="198B8BAC" w14:textId="6CADA7A4" w:rsidR="002C2E21" w:rsidRDefault="002C2E21" w:rsidP="002C2E21">
      <w:pPr>
        <w:numPr>
          <w:ilvl w:val="0"/>
          <w:numId w:val="5"/>
        </w:numPr>
        <w:spacing w:after="0" w:line="360" w:lineRule="auto"/>
        <w:jc w:val="both"/>
        <w:rPr>
          <w:rFonts w:ascii="Titillium Web" w:eastAsia="Times New Roman" w:hAnsi="Titillium Web" w:cs="Times New Roman"/>
          <w:sz w:val="26"/>
          <w:szCs w:val="26"/>
          <w:lang w:eastAsia="it-IT"/>
        </w:rPr>
      </w:pPr>
      <w:r>
        <w:rPr>
          <w:rFonts w:ascii="Titillium Web" w:eastAsia="Times New Roman" w:hAnsi="Titillium Web" w:cs="Times New Roman"/>
          <w:b/>
          <w:bCs/>
          <w:sz w:val="26"/>
          <w:szCs w:val="26"/>
          <w:lang w:eastAsia="it-IT"/>
        </w:rPr>
        <w:t>“Modulo d</w:t>
      </w:r>
      <w:r w:rsidR="00543408" w:rsidRPr="00EC3922">
        <w:rPr>
          <w:rFonts w:ascii="Titillium Web" w:eastAsia="Times New Roman" w:hAnsi="Titillium Web" w:cs="Times New Roman"/>
          <w:b/>
          <w:bCs/>
          <w:sz w:val="26"/>
          <w:szCs w:val="26"/>
          <w:lang w:eastAsia="it-IT"/>
        </w:rPr>
        <w:t>ichiarazione contestuale all’istanza</w:t>
      </w:r>
      <w:r>
        <w:rPr>
          <w:rFonts w:ascii="Titillium Web" w:eastAsia="Times New Roman" w:hAnsi="Titillium Web" w:cs="Times New Roman"/>
          <w:sz w:val="26"/>
          <w:szCs w:val="26"/>
          <w:lang w:eastAsia="it-IT"/>
        </w:rPr>
        <w:t>”</w:t>
      </w:r>
    </w:p>
    <w:p w14:paraId="070F1D2B" w14:textId="405C3681" w:rsidR="00543408" w:rsidRDefault="00543408" w:rsidP="002C2E21">
      <w:pPr>
        <w:spacing w:after="0" w:line="360" w:lineRule="auto"/>
        <w:ind w:left="720"/>
        <w:jc w:val="both"/>
        <w:rPr>
          <w:rFonts w:ascii="Titillium Web" w:eastAsia="Times New Roman" w:hAnsi="Titillium Web" w:cs="Times New Roman"/>
          <w:sz w:val="26"/>
          <w:szCs w:val="26"/>
          <w:lang w:eastAsia="it-IT"/>
        </w:rPr>
      </w:pPr>
      <w:r w:rsidRPr="002C2E21">
        <w:rPr>
          <w:rFonts w:ascii="Titillium Web" w:eastAsia="Times New Roman" w:hAnsi="Titillium Web" w:cs="Times New Roman"/>
          <w:sz w:val="26"/>
          <w:szCs w:val="26"/>
          <w:lang w:eastAsia="it-IT"/>
        </w:rPr>
        <w:t>deve essere compilato contestualmente da entrambi</w:t>
      </w:r>
    </w:p>
    <w:p w14:paraId="7BD6B158" w14:textId="77777777" w:rsidR="002C2E21" w:rsidRPr="002C2E21" w:rsidRDefault="002C2E21" w:rsidP="002C2E21">
      <w:pPr>
        <w:numPr>
          <w:ilvl w:val="0"/>
          <w:numId w:val="5"/>
        </w:numPr>
        <w:spacing w:after="0" w:line="360" w:lineRule="auto"/>
        <w:ind w:left="714" w:hanging="357"/>
        <w:jc w:val="both"/>
        <w:rPr>
          <w:rFonts w:ascii="Titillium Web" w:eastAsia="Times New Roman" w:hAnsi="Titillium Web" w:cs="Times New Roman"/>
          <w:sz w:val="26"/>
          <w:szCs w:val="26"/>
          <w:lang w:eastAsia="it-IT"/>
        </w:rPr>
      </w:pPr>
      <w:r>
        <w:rPr>
          <w:rFonts w:ascii="Titillium Web" w:eastAsia="Times New Roman" w:hAnsi="Titillium Web" w:cs="Times New Roman"/>
          <w:b/>
          <w:bCs/>
          <w:sz w:val="26"/>
          <w:szCs w:val="26"/>
          <w:lang w:eastAsia="it-IT"/>
        </w:rPr>
        <w:t>“</w:t>
      </w:r>
      <w:r w:rsidR="00543408" w:rsidRPr="00EC3922">
        <w:rPr>
          <w:rFonts w:ascii="Titillium Web" w:eastAsia="Times New Roman" w:hAnsi="Titillium Web" w:cs="Times New Roman"/>
          <w:b/>
          <w:bCs/>
          <w:sz w:val="26"/>
          <w:szCs w:val="26"/>
          <w:lang w:eastAsia="it-IT"/>
        </w:rPr>
        <w:t>Richiesta separazione/divorzio</w:t>
      </w:r>
      <w:r>
        <w:rPr>
          <w:rFonts w:ascii="Titillium Web" w:eastAsia="Times New Roman" w:hAnsi="Titillium Web" w:cs="Times New Roman"/>
          <w:b/>
          <w:bCs/>
          <w:sz w:val="26"/>
          <w:szCs w:val="26"/>
          <w:lang w:eastAsia="it-IT"/>
        </w:rPr>
        <w:t>”</w:t>
      </w:r>
    </w:p>
    <w:p w14:paraId="69DEBB5B" w14:textId="169D6638" w:rsidR="00543408" w:rsidRDefault="00543408" w:rsidP="002C2E21">
      <w:pPr>
        <w:spacing w:after="0" w:line="360" w:lineRule="auto"/>
        <w:ind w:left="714"/>
        <w:jc w:val="both"/>
        <w:rPr>
          <w:rFonts w:ascii="Titillium Web" w:eastAsia="Times New Roman" w:hAnsi="Titillium Web" w:cs="Times New Roman"/>
          <w:sz w:val="26"/>
          <w:szCs w:val="26"/>
          <w:lang w:eastAsia="it-IT"/>
        </w:rPr>
      </w:pPr>
      <w:r w:rsidRPr="002C2E21">
        <w:rPr>
          <w:rFonts w:ascii="Titillium Web" w:eastAsia="Times New Roman" w:hAnsi="Titillium Web" w:cs="Times New Roman"/>
          <w:sz w:val="26"/>
          <w:szCs w:val="26"/>
          <w:lang w:eastAsia="it-IT"/>
        </w:rPr>
        <w:t xml:space="preserve">deve essere compilato singolarmente e dunque </w:t>
      </w:r>
      <w:r w:rsidR="002C2E21">
        <w:rPr>
          <w:rFonts w:ascii="Titillium Web" w:eastAsia="Times New Roman" w:hAnsi="Titillium Web" w:cs="Times New Roman"/>
          <w:sz w:val="26"/>
          <w:szCs w:val="26"/>
          <w:lang w:eastAsia="it-IT"/>
        </w:rPr>
        <w:t xml:space="preserve">devono </w:t>
      </w:r>
      <w:r w:rsidRPr="002C2E21">
        <w:rPr>
          <w:rFonts w:ascii="Titillium Web" w:eastAsia="Times New Roman" w:hAnsi="Titillium Web" w:cs="Times New Roman"/>
          <w:sz w:val="26"/>
          <w:szCs w:val="26"/>
          <w:lang w:eastAsia="it-IT"/>
        </w:rPr>
        <w:t xml:space="preserve">pervenire </w:t>
      </w:r>
      <w:r w:rsidR="00E07C58" w:rsidRPr="002C2E21">
        <w:rPr>
          <w:rFonts w:ascii="Titillium Web" w:eastAsia="Times New Roman" w:hAnsi="Titillium Web" w:cs="Times New Roman"/>
          <w:sz w:val="26"/>
          <w:szCs w:val="26"/>
          <w:lang w:eastAsia="it-IT"/>
        </w:rPr>
        <w:t>due</w:t>
      </w:r>
      <w:r w:rsidRPr="002C2E21">
        <w:rPr>
          <w:rFonts w:ascii="Titillium Web" w:eastAsia="Times New Roman" w:hAnsi="Titillium Web" w:cs="Times New Roman"/>
          <w:sz w:val="26"/>
          <w:szCs w:val="26"/>
          <w:lang w:eastAsia="it-IT"/>
        </w:rPr>
        <w:t xml:space="preserve"> copie</w:t>
      </w:r>
    </w:p>
    <w:p w14:paraId="70950A2E" w14:textId="77777777" w:rsidR="002C2E21" w:rsidRPr="002C2E21" w:rsidRDefault="002C2E21" w:rsidP="002C2E21">
      <w:pPr>
        <w:spacing w:after="0" w:line="360" w:lineRule="auto"/>
        <w:ind w:left="714"/>
        <w:jc w:val="both"/>
        <w:rPr>
          <w:rFonts w:ascii="Titillium Web" w:eastAsia="Times New Roman" w:hAnsi="Titillium Web" w:cs="Times New Roman"/>
          <w:sz w:val="14"/>
          <w:szCs w:val="14"/>
          <w:lang w:eastAsia="it-IT"/>
        </w:rPr>
      </w:pPr>
    </w:p>
    <w:p w14:paraId="20C68FDE" w14:textId="0DCD306F" w:rsidR="00543408" w:rsidRPr="00EC3922" w:rsidRDefault="00E07C58" w:rsidP="002C2E21">
      <w:pPr>
        <w:spacing w:after="0" w:line="360" w:lineRule="auto"/>
        <w:jc w:val="both"/>
        <w:rPr>
          <w:rFonts w:ascii="Titillium Web" w:eastAsia="Times New Roman" w:hAnsi="Titillium Web" w:cs="Times New Roman"/>
          <w:sz w:val="26"/>
          <w:szCs w:val="26"/>
          <w:lang w:eastAsia="it-IT"/>
        </w:rPr>
      </w:pPr>
      <w:r>
        <w:rPr>
          <w:rFonts w:ascii="Titillium Web" w:eastAsia="Times New Roman" w:hAnsi="Titillium Web" w:cs="Times New Roman"/>
          <w:sz w:val="26"/>
          <w:szCs w:val="26"/>
          <w:lang w:eastAsia="it-IT"/>
        </w:rPr>
        <w:t>In seguito, e</w:t>
      </w:r>
      <w:r w:rsidR="00543408" w:rsidRPr="00EC3922">
        <w:rPr>
          <w:rFonts w:ascii="Titillium Web" w:eastAsia="Times New Roman" w:hAnsi="Titillium Web" w:cs="Times New Roman"/>
          <w:sz w:val="26"/>
          <w:szCs w:val="26"/>
          <w:lang w:eastAsia="it-IT"/>
        </w:rPr>
        <w:t>ntrambi i moduli possono essere:</w:t>
      </w:r>
    </w:p>
    <w:p w14:paraId="7C89EA26" w14:textId="77777777" w:rsidR="00543408" w:rsidRPr="00EC3922" w:rsidRDefault="00543408" w:rsidP="002C2E21">
      <w:pPr>
        <w:numPr>
          <w:ilvl w:val="0"/>
          <w:numId w:val="6"/>
        </w:numPr>
        <w:spacing w:after="0" w:line="360" w:lineRule="auto"/>
        <w:jc w:val="both"/>
        <w:rPr>
          <w:rFonts w:ascii="Titillium Web" w:eastAsia="Times New Roman" w:hAnsi="Titillium Web" w:cs="Times New Roman"/>
          <w:sz w:val="26"/>
          <w:szCs w:val="26"/>
          <w:lang w:eastAsia="it-IT"/>
        </w:rPr>
      </w:pPr>
      <w:r w:rsidRPr="00EC3922">
        <w:rPr>
          <w:rFonts w:ascii="Titillium Web" w:eastAsia="Times New Roman" w:hAnsi="Titillium Web" w:cs="Times New Roman"/>
          <w:sz w:val="26"/>
          <w:szCs w:val="26"/>
          <w:lang w:eastAsia="it-IT"/>
        </w:rPr>
        <w:t>consegnati all'Ufficio Servizi Demografici</w:t>
      </w:r>
    </w:p>
    <w:p w14:paraId="51E89DFA" w14:textId="5808B1D5" w:rsidR="00543408" w:rsidRPr="00EC3922" w:rsidRDefault="00543408" w:rsidP="002C2E21">
      <w:pPr>
        <w:numPr>
          <w:ilvl w:val="0"/>
          <w:numId w:val="6"/>
        </w:numPr>
        <w:spacing w:after="0" w:line="360" w:lineRule="auto"/>
        <w:jc w:val="both"/>
        <w:rPr>
          <w:rFonts w:ascii="Titillium Web" w:eastAsia="Times New Roman" w:hAnsi="Titillium Web" w:cs="Times New Roman"/>
          <w:sz w:val="26"/>
          <w:szCs w:val="26"/>
          <w:lang w:eastAsia="it-IT"/>
        </w:rPr>
      </w:pPr>
      <w:r w:rsidRPr="00EC3922">
        <w:rPr>
          <w:rFonts w:ascii="Titillium Web" w:eastAsia="Times New Roman" w:hAnsi="Titillium Web" w:cs="Times New Roman"/>
          <w:sz w:val="26"/>
          <w:szCs w:val="26"/>
          <w:lang w:eastAsia="it-IT"/>
        </w:rPr>
        <w:t>trasmessi via e-mail all'indirizzo</w:t>
      </w:r>
      <w:r w:rsidRPr="00EC3922">
        <w:rPr>
          <w:rFonts w:ascii="Titillium Web" w:eastAsia="Times New Roman" w:hAnsi="Titillium Web" w:cs="Times New Roman"/>
          <w:b/>
          <w:bCs/>
          <w:sz w:val="26"/>
          <w:szCs w:val="26"/>
          <w:lang w:eastAsia="it-IT"/>
        </w:rPr>
        <w:t> </w:t>
      </w:r>
      <w:hyperlink r:id="rId5" w:history="1">
        <w:r w:rsidR="00FA29E0" w:rsidRPr="00D829B3">
          <w:rPr>
            <w:rStyle w:val="Collegamentoipertestuale"/>
            <w:rFonts w:ascii="Titillium Web" w:eastAsia="Times New Roman" w:hAnsi="Titillium Web" w:cs="Times New Roman"/>
            <w:color w:val="0070C0"/>
            <w:sz w:val="26"/>
            <w:szCs w:val="26"/>
            <w:lang w:eastAsia="it-IT"/>
          </w:rPr>
          <w:t>anagrafe@comune.villadalme.bg.it</w:t>
        </w:r>
      </w:hyperlink>
      <w:r w:rsidR="00FA29E0" w:rsidRPr="00D829B3">
        <w:rPr>
          <w:rFonts w:ascii="Titillium Web" w:eastAsia="Times New Roman" w:hAnsi="Titillium Web" w:cs="Times New Roman"/>
          <w:color w:val="0070C0"/>
          <w:sz w:val="26"/>
          <w:szCs w:val="26"/>
          <w:lang w:eastAsia="it-IT"/>
        </w:rPr>
        <w:t xml:space="preserve"> </w:t>
      </w:r>
      <w:r w:rsidRPr="00D829B3">
        <w:rPr>
          <w:rFonts w:ascii="Titillium Web" w:eastAsia="Times New Roman" w:hAnsi="Titillium Web" w:cs="Times New Roman"/>
          <w:b/>
          <w:bCs/>
          <w:color w:val="0070C0"/>
          <w:sz w:val="26"/>
          <w:szCs w:val="26"/>
          <w:lang w:eastAsia="it-IT"/>
        </w:rPr>
        <w:t> </w:t>
      </w:r>
    </w:p>
    <w:p w14:paraId="160887ED" w14:textId="575BF5B7" w:rsidR="002C2E21" w:rsidRDefault="002C2E21" w:rsidP="002C2E21">
      <w:pPr>
        <w:spacing w:after="0" w:line="360" w:lineRule="auto"/>
        <w:jc w:val="both"/>
        <w:rPr>
          <w:rFonts w:ascii="Titillium Web" w:eastAsia="Times New Roman" w:hAnsi="Titillium Web" w:cs="Times New Roman"/>
          <w:sz w:val="26"/>
          <w:szCs w:val="26"/>
          <w:lang w:eastAsia="it-IT"/>
        </w:rPr>
      </w:pPr>
      <w:r>
        <w:rPr>
          <w:rFonts w:ascii="Titillium Web" w:eastAsia="Times New Roman" w:hAnsi="Titillium Web" w:cs="Times New Roman"/>
          <w:sz w:val="26"/>
          <w:szCs w:val="26"/>
          <w:lang w:eastAsia="it-IT"/>
        </w:rPr>
        <w:t>E</w:t>
      </w:r>
      <w:r w:rsidR="00E07C58">
        <w:rPr>
          <w:rFonts w:ascii="Titillium Web" w:eastAsia="Times New Roman" w:hAnsi="Titillium Web" w:cs="Times New Roman"/>
          <w:sz w:val="26"/>
          <w:szCs w:val="26"/>
          <w:lang w:eastAsia="it-IT"/>
        </w:rPr>
        <w:t xml:space="preserve">’ </w:t>
      </w:r>
      <w:r>
        <w:rPr>
          <w:rFonts w:ascii="Titillium Web" w:eastAsia="Times New Roman" w:hAnsi="Titillium Web" w:cs="Times New Roman"/>
          <w:sz w:val="26"/>
          <w:szCs w:val="26"/>
          <w:lang w:eastAsia="it-IT"/>
        </w:rPr>
        <w:t xml:space="preserve"> necessario </w:t>
      </w:r>
      <w:r w:rsidR="00543408" w:rsidRPr="00EC3922">
        <w:rPr>
          <w:rFonts w:ascii="Titillium Web" w:eastAsia="Times New Roman" w:hAnsi="Titillium Web" w:cs="Times New Roman"/>
          <w:sz w:val="26"/>
          <w:szCs w:val="26"/>
          <w:lang w:eastAsia="it-IT"/>
        </w:rPr>
        <w:t>allega</w:t>
      </w:r>
      <w:r>
        <w:rPr>
          <w:rFonts w:ascii="Titillium Web" w:eastAsia="Times New Roman" w:hAnsi="Titillium Web" w:cs="Times New Roman"/>
          <w:sz w:val="26"/>
          <w:szCs w:val="26"/>
          <w:lang w:eastAsia="it-IT"/>
        </w:rPr>
        <w:t>re</w:t>
      </w:r>
      <w:r w:rsidR="00543408" w:rsidRPr="00EC3922">
        <w:rPr>
          <w:rFonts w:ascii="Titillium Web" w:eastAsia="Times New Roman" w:hAnsi="Titillium Web" w:cs="Times New Roman"/>
          <w:sz w:val="26"/>
          <w:szCs w:val="26"/>
          <w:lang w:eastAsia="it-IT"/>
        </w:rPr>
        <w:t> copia dei documenti d</w:t>
      </w:r>
      <w:r w:rsidR="00E07C58">
        <w:rPr>
          <w:rFonts w:ascii="Titillium Web" w:eastAsia="Times New Roman" w:hAnsi="Titillium Web" w:cs="Times New Roman"/>
          <w:sz w:val="26"/>
          <w:szCs w:val="26"/>
          <w:lang w:eastAsia="it-IT"/>
        </w:rPr>
        <w:t>’</w:t>
      </w:r>
      <w:r w:rsidR="00543408" w:rsidRPr="00EC3922">
        <w:rPr>
          <w:rFonts w:ascii="Titillium Web" w:eastAsia="Times New Roman" w:hAnsi="Titillium Web" w:cs="Times New Roman"/>
          <w:sz w:val="26"/>
          <w:szCs w:val="26"/>
          <w:lang w:eastAsia="it-IT"/>
        </w:rPr>
        <w:t>identità in corso di validità.</w:t>
      </w:r>
    </w:p>
    <w:p w14:paraId="7DEE5BC5" w14:textId="77777777" w:rsidR="00890D54" w:rsidRDefault="00890D54" w:rsidP="002C2E21">
      <w:pPr>
        <w:spacing w:after="0" w:line="360" w:lineRule="auto"/>
        <w:jc w:val="both"/>
        <w:rPr>
          <w:rFonts w:ascii="Titillium Web" w:eastAsia="Times New Roman" w:hAnsi="Titillium Web" w:cs="Times New Roman"/>
          <w:sz w:val="26"/>
          <w:szCs w:val="26"/>
          <w:lang w:eastAsia="it-IT"/>
        </w:rPr>
      </w:pPr>
    </w:p>
    <w:p w14:paraId="2512A076" w14:textId="7E6223E8" w:rsidR="00543408" w:rsidRPr="00EC3922" w:rsidRDefault="00543408" w:rsidP="002C2E21">
      <w:pPr>
        <w:spacing w:after="0" w:line="360" w:lineRule="auto"/>
        <w:jc w:val="both"/>
        <w:rPr>
          <w:rFonts w:ascii="Titillium Web" w:eastAsia="Times New Roman" w:hAnsi="Titillium Web" w:cs="Times New Roman"/>
          <w:sz w:val="26"/>
          <w:szCs w:val="26"/>
          <w:lang w:eastAsia="it-IT"/>
        </w:rPr>
      </w:pPr>
      <w:r w:rsidRPr="00EC3922">
        <w:rPr>
          <w:rFonts w:ascii="Titillium Web" w:eastAsia="Times New Roman" w:hAnsi="Titillium Web" w:cs="Times New Roman"/>
          <w:sz w:val="26"/>
          <w:szCs w:val="26"/>
          <w:lang w:eastAsia="it-IT"/>
        </w:rPr>
        <w:t>L'Ufficiale di Stato Civile provvede d'ufficio all'acquisizione dei documenti utili al procedimento, detenuti da altra pubblica amministrazione italiana. In tutti gli altri casi, il cittadino, per poter concludere l’accordo in questione, deve produrre i documenti richiesti per comprovare i requisiti e le condizioni prescritte dalla legge. Una volta in possesso di tutti i documenti necessari, l'Ufficio Servizi Demografici stabilisce la data della redazione dell’accordo, previo contatto con gli interessati.</w:t>
      </w:r>
    </w:p>
    <w:p w14:paraId="54A475FD" w14:textId="77777777" w:rsidR="003662EC" w:rsidRDefault="003662EC" w:rsidP="002C2E21">
      <w:pPr>
        <w:spacing w:after="0" w:line="360" w:lineRule="auto"/>
        <w:jc w:val="both"/>
        <w:rPr>
          <w:rFonts w:ascii="Titillium Web" w:eastAsia="Times New Roman" w:hAnsi="Titillium Web" w:cs="Times New Roman"/>
          <w:b/>
          <w:bCs/>
          <w:color w:val="000099"/>
          <w:sz w:val="26"/>
          <w:szCs w:val="26"/>
          <w:lang w:eastAsia="it-IT"/>
        </w:rPr>
      </w:pPr>
    </w:p>
    <w:p w14:paraId="56A29DEA" w14:textId="13B3E776" w:rsidR="00543408" w:rsidRPr="00BC48AE" w:rsidRDefault="00543408" w:rsidP="002C2E21">
      <w:pPr>
        <w:spacing w:after="0" w:line="360" w:lineRule="auto"/>
        <w:jc w:val="both"/>
        <w:rPr>
          <w:rFonts w:ascii="Titillium Web" w:eastAsia="Times New Roman" w:hAnsi="Titillium Web" w:cs="Times New Roman"/>
          <w:color w:val="000099"/>
          <w:sz w:val="26"/>
          <w:szCs w:val="26"/>
          <w:lang w:eastAsia="it-IT"/>
        </w:rPr>
      </w:pPr>
      <w:r w:rsidRPr="00BC48AE">
        <w:rPr>
          <w:rFonts w:ascii="Titillium Web" w:eastAsia="Times New Roman" w:hAnsi="Titillium Web" w:cs="Times New Roman"/>
          <w:b/>
          <w:bCs/>
          <w:color w:val="000099"/>
          <w:sz w:val="26"/>
          <w:szCs w:val="26"/>
          <w:lang w:eastAsia="it-IT"/>
        </w:rPr>
        <w:t>Redazione dell'accordo</w:t>
      </w:r>
    </w:p>
    <w:p w14:paraId="37910C0D" w14:textId="444F54A2" w:rsidR="00543408" w:rsidRDefault="00543408" w:rsidP="002C2E21">
      <w:pPr>
        <w:spacing w:after="0" w:line="360" w:lineRule="auto"/>
        <w:jc w:val="both"/>
        <w:rPr>
          <w:rFonts w:ascii="Titillium Web" w:eastAsia="Times New Roman" w:hAnsi="Titillium Web" w:cs="Times New Roman"/>
          <w:sz w:val="26"/>
          <w:szCs w:val="26"/>
          <w:lang w:eastAsia="it-IT"/>
        </w:rPr>
      </w:pPr>
      <w:r w:rsidRPr="00EC3922">
        <w:rPr>
          <w:rFonts w:ascii="Titillium Web" w:eastAsia="Times New Roman" w:hAnsi="Titillium Web" w:cs="Times New Roman"/>
          <w:sz w:val="26"/>
          <w:szCs w:val="26"/>
          <w:lang w:eastAsia="it-IT"/>
        </w:rPr>
        <w:t xml:space="preserve">Entrambi i coniugi devono presentarsi con un documento di identità valido, nel giorno prestabilito, all'Ufficio Servizi Demografici per rendere le dichiarazioni prescritte e per </w:t>
      </w:r>
      <w:r w:rsidRPr="00EC3922">
        <w:rPr>
          <w:rFonts w:ascii="Titillium Web" w:eastAsia="Times New Roman" w:hAnsi="Titillium Web" w:cs="Times New Roman"/>
          <w:sz w:val="26"/>
          <w:szCs w:val="26"/>
          <w:lang w:eastAsia="it-IT"/>
        </w:rPr>
        <w:lastRenderedPageBreak/>
        <w:t>sottoscrivere il conseguente accordo. Nel caso di assistenza da parte di avvocato, questi dev’essere munito di documento di identità valido e di tesserino professionale di appartenenza all’Ordine degli avvocati. Se gli sposi non conoscono la lingua italiana, devono essere assistiti da un interprete nelle vari fasi del procedimento. L’interprete, munito di documento identificativo valido, presta giuramento di bene e fedelmente adempiere all’incarico ricevuto.</w:t>
      </w:r>
    </w:p>
    <w:p w14:paraId="326EB002" w14:textId="77777777" w:rsidR="003662EC" w:rsidRPr="00EC3922" w:rsidRDefault="003662EC" w:rsidP="002C2E21">
      <w:pPr>
        <w:spacing w:after="0" w:line="360" w:lineRule="auto"/>
        <w:jc w:val="both"/>
        <w:rPr>
          <w:rFonts w:ascii="Titillium Web" w:eastAsia="Times New Roman" w:hAnsi="Titillium Web" w:cs="Times New Roman"/>
          <w:sz w:val="26"/>
          <w:szCs w:val="26"/>
          <w:lang w:eastAsia="it-IT"/>
        </w:rPr>
      </w:pPr>
    </w:p>
    <w:p w14:paraId="528813BB" w14:textId="77777777" w:rsidR="00543408" w:rsidRPr="00BC48AE" w:rsidRDefault="00543408" w:rsidP="002C2E21">
      <w:pPr>
        <w:spacing w:after="0" w:line="360" w:lineRule="auto"/>
        <w:jc w:val="both"/>
        <w:rPr>
          <w:rFonts w:ascii="Titillium Web" w:eastAsia="Times New Roman" w:hAnsi="Titillium Web" w:cs="Times New Roman"/>
          <w:color w:val="000099"/>
          <w:sz w:val="26"/>
          <w:szCs w:val="26"/>
          <w:lang w:eastAsia="it-IT"/>
        </w:rPr>
      </w:pPr>
      <w:r w:rsidRPr="00BC48AE">
        <w:rPr>
          <w:rFonts w:ascii="Titillium Web" w:eastAsia="Times New Roman" w:hAnsi="Titillium Web" w:cs="Times New Roman"/>
          <w:b/>
          <w:bCs/>
          <w:color w:val="000099"/>
          <w:sz w:val="26"/>
          <w:szCs w:val="26"/>
          <w:lang w:eastAsia="it-IT"/>
        </w:rPr>
        <w:t>Conferma dell'accordo</w:t>
      </w:r>
    </w:p>
    <w:p w14:paraId="21E9AEBF" w14:textId="77777777" w:rsidR="003662EC" w:rsidRDefault="00543408" w:rsidP="002C2E21">
      <w:pPr>
        <w:spacing w:after="0" w:line="360" w:lineRule="auto"/>
        <w:jc w:val="both"/>
        <w:rPr>
          <w:rFonts w:ascii="Titillium Web" w:eastAsia="Times New Roman" w:hAnsi="Titillium Web" w:cs="Times New Roman"/>
          <w:sz w:val="26"/>
          <w:szCs w:val="26"/>
          <w:lang w:eastAsia="it-IT"/>
        </w:rPr>
      </w:pPr>
      <w:r w:rsidRPr="00EC3922">
        <w:rPr>
          <w:rFonts w:ascii="Titillium Web" w:eastAsia="Times New Roman" w:hAnsi="Titillium Web" w:cs="Times New Roman"/>
          <w:sz w:val="26"/>
          <w:szCs w:val="26"/>
          <w:lang w:eastAsia="it-IT"/>
        </w:rPr>
        <w:t>Non prima di 30 giorni dalla sottoscrizione dell’accordo, nel giorno concordato con l’ufficio matrimoni, i coniugi devono presentarsi per rendere all’ufficiale di stato civile un</w:t>
      </w:r>
      <w:r w:rsidR="003662EC">
        <w:rPr>
          <w:rFonts w:ascii="Titillium Web" w:eastAsia="Times New Roman" w:hAnsi="Titillium Web" w:cs="Times New Roman"/>
          <w:sz w:val="26"/>
          <w:szCs w:val="26"/>
          <w:lang w:eastAsia="it-IT"/>
        </w:rPr>
        <w:t>’</w:t>
      </w:r>
      <w:r w:rsidRPr="00EC3922">
        <w:rPr>
          <w:rFonts w:ascii="Titillium Web" w:eastAsia="Times New Roman" w:hAnsi="Titillium Web" w:cs="Times New Roman"/>
          <w:sz w:val="26"/>
          <w:szCs w:val="26"/>
          <w:lang w:eastAsia="it-IT"/>
        </w:rPr>
        <w:t xml:space="preserve"> ulteriore dichiarazione che confermi la validità dell’accordo. </w:t>
      </w:r>
    </w:p>
    <w:p w14:paraId="4969D1F0" w14:textId="645EBF9C" w:rsidR="00543408" w:rsidRPr="00EC3922" w:rsidRDefault="00543408" w:rsidP="002C2E21">
      <w:pPr>
        <w:spacing w:after="0" w:line="360" w:lineRule="auto"/>
        <w:jc w:val="both"/>
        <w:rPr>
          <w:rFonts w:ascii="Titillium Web" w:eastAsia="Times New Roman" w:hAnsi="Titillium Web" w:cs="Times New Roman"/>
          <w:sz w:val="26"/>
          <w:szCs w:val="26"/>
          <w:lang w:eastAsia="it-IT"/>
        </w:rPr>
      </w:pPr>
      <w:r w:rsidRPr="00EC3922">
        <w:rPr>
          <w:rFonts w:ascii="Titillium Web" w:eastAsia="Times New Roman" w:hAnsi="Titillium Web" w:cs="Times New Roman"/>
          <w:sz w:val="26"/>
          <w:szCs w:val="26"/>
          <w:lang w:eastAsia="it-IT"/>
        </w:rPr>
        <w:t>La mancata comparizione dei coniugi equivale alla mancata conferma dell'accordo.</w:t>
      </w:r>
      <w:r w:rsidRPr="00EC3922">
        <w:rPr>
          <w:rFonts w:ascii="Titillium Web" w:eastAsia="Times New Roman" w:hAnsi="Titillium Web" w:cs="Times New Roman"/>
          <w:sz w:val="26"/>
          <w:szCs w:val="26"/>
          <w:lang w:eastAsia="it-IT"/>
        </w:rPr>
        <w:br/>
        <w:t xml:space="preserve">Se gli sposi non conoscono la lingua italiana, devono essere assistiti anche in questa fase da un interprete. </w:t>
      </w:r>
    </w:p>
    <w:p w14:paraId="7BA7B854" w14:textId="77777777" w:rsidR="00543408" w:rsidRPr="00EC3922" w:rsidRDefault="00543408" w:rsidP="002C2E21">
      <w:pPr>
        <w:spacing w:after="0" w:line="360" w:lineRule="auto"/>
        <w:jc w:val="both"/>
        <w:rPr>
          <w:rFonts w:ascii="Titillium Web" w:eastAsia="Times New Roman" w:hAnsi="Titillium Web" w:cs="Times New Roman"/>
          <w:sz w:val="26"/>
          <w:szCs w:val="26"/>
          <w:lang w:eastAsia="it-IT"/>
        </w:rPr>
      </w:pPr>
      <w:r w:rsidRPr="00EC3922">
        <w:rPr>
          <w:rFonts w:ascii="Titillium Web" w:eastAsia="Times New Roman" w:hAnsi="Titillium Web" w:cs="Times New Roman"/>
          <w:sz w:val="26"/>
          <w:szCs w:val="26"/>
          <w:lang w:eastAsia="it-IT"/>
        </w:rPr>
        <w:t>Gli effetti dell’accordo si producono dalla data di sottoscrizione dello stesso.</w:t>
      </w:r>
    </w:p>
    <w:p w14:paraId="168B1296" w14:textId="77777777" w:rsidR="003662EC" w:rsidRDefault="003662EC" w:rsidP="002C2E21">
      <w:pPr>
        <w:spacing w:after="0" w:line="360" w:lineRule="auto"/>
        <w:jc w:val="both"/>
        <w:rPr>
          <w:rFonts w:ascii="Titillium Web" w:eastAsia="Times New Roman" w:hAnsi="Titillium Web" w:cs="Times New Roman"/>
          <w:b/>
          <w:bCs/>
          <w:color w:val="002060"/>
          <w:sz w:val="26"/>
          <w:szCs w:val="26"/>
          <w:lang w:eastAsia="it-IT"/>
        </w:rPr>
      </w:pPr>
    </w:p>
    <w:p w14:paraId="6C576E0B" w14:textId="1CE19E85" w:rsidR="00543408" w:rsidRPr="003662EC" w:rsidRDefault="00543408" w:rsidP="002C2E21">
      <w:pPr>
        <w:spacing w:after="0" w:line="360" w:lineRule="auto"/>
        <w:jc w:val="both"/>
        <w:rPr>
          <w:rFonts w:ascii="Titillium Web" w:eastAsia="Times New Roman" w:hAnsi="Titillium Web" w:cs="Times New Roman"/>
          <w:color w:val="000099"/>
          <w:sz w:val="26"/>
          <w:szCs w:val="26"/>
          <w:lang w:eastAsia="it-IT"/>
        </w:rPr>
      </w:pPr>
      <w:r w:rsidRPr="003662EC">
        <w:rPr>
          <w:rFonts w:ascii="Titillium Web" w:eastAsia="Times New Roman" w:hAnsi="Titillium Web" w:cs="Times New Roman"/>
          <w:b/>
          <w:bCs/>
          <w:color w:val="000099"/>
          <w:sz w:val="26"/>
          <w:szCs w:val="26"/>
          <w:lang w:eastAsia="it-IT"/>
        </w:rPr>
        <w:t>Costi </w:t>
      </w:r>
    </w:p>
    <w:p w14:paraId="71257BD4" w14:textId="77777777" w:rsidR="00543408" w:rsidRPr="00EC3922" w:rsidRDefault="00543408" w:rsidP="002C2E21">
      <w:pPr>
        <w:spacing w:after="0" w:line="360" w:lineRule="auto"/>
        <w:jc w:val="both"/>
        <w:rPr>
          <w:rFonts w:ascii="Titillium Web" w:eastAsia="Times New Roman" w:hAnsi="Titillium Web" w:cs="Times New Roman"/>
          <w:sz w:val="26"/>
          <w:szCs w:val="26"/>
          <w:lang w:eastAsia="it-IT"/>
        </w:rPr>
      </w:pPr>
      <w:r w:rsidRPr="00EC3922">
        <w:rPr>
          <w:rFonts w:ascii="Titillium Web" w:eastAsia="Times New Roman" w:hAnsi="Titillium Web" w:cs="Times New Roman"/>
          <w:sz w:val="26"/>
          <w:szCs w:val="26"/>
          <w:lang w:eastAsia="it-IT"/>
        </w:rPr>
        <w:t>Il costo consiste in un diritto fisso pari a € 16,00 che deve essere corrisposto prima o dopo la redazione dell'accordo.</w:t>
      </w:r>
    </w:p>
    <w:p w14:paraId="686CEE56" w14:textId="1EBEF3E0" w:rsidR="008F456B" w:rsidRDefault="008F456B" w:rsidP="002C2E21">
      <w:pPr>
        <w:spacing w:line="360" w:lineRule="auto"/>
        <w:jc w:val="both"/>
        <w:rPr>
          <w:rFonts w:ascii="Titillium Web" w:hAnsi="Titillium Web"/>
          <w:sz w:val="26"/>
          <w:szCs w:val="26"/>
        </w:rPr>
      </w:pPr>
    </w:p>
    <w:p w14:paraId="73990A8C" w14:textId="77777777" w:rsidR="00003A62" w:rsidRPr="00981EF9" w:rsidRDefault="00003A62" w:rsidP="00003A62">
      <w:pPr>
        <w:spacing w:after="0" w:line="360" w:lineRule="auto"/>
        <w:rPr>
          <w:rFonts w:ascii="Titillium Web" w:hAnsi="Titillium Web"/>
          <w:b/>
          <w:bCs/>
          <w:color w:val="000099"/>
          <w:sz w:val="26"/>
          <w:szCs w:val="26"/>
        </w:rPr>
      </w:pPr>
      <w:r w:rsidRPr="00981EF9">
        <w:rPr>
          <w:rFonts w:ascii="Titillium Web" w:hAnsi="Titillium Web"/>
          <w:b/>
          <w:bCs/>
          <w:color w:val="000099"/>
          <w:sz w:val="26"/>
          <w:szCs w:val="26"/>
        </w:rPr>
        <w:t>Contatti di riferimento</w:t>
      </w:r>
    </w:p>
    <w:p w14:paraId="5136945F" w14:textId="77777777" w:rsidR="00003A62" w:rsidRPr="00981EF9" w:rsidRDefault="00003A62" w:rsidP="00003A62">
      <w:pPr>
        <w:spacing w:after="0" w:line="360" w:lineRule="auto"/>
        <w:rPr>
          <w:rFonts w:ascii="Titillium Web" w:hAnsi="Titillium Web"/>
          <w:sz w:val="26"/>
          <w:szCs w:val="26"/>
        </w:rPr>
      </w:pPr>
      <w:r w:rsidRPr="00981EF9">
        <w:rPr>
          <w:rFonts w:ascii="Titillium Web" w:hAnsi="Titillium Web"/>
          <w:b/>
          <w:bCs/>
          <w:sz w:val="26"/>
          <w:szCs w:val="26"/>
        </w:rPr>
        <w:t>Telefono:</w:t>
      </w:r>
      <w:r w:rsidRPr="00981EF9">
        <w:rPr>
          <w:rFonts w:ascii="Titillium Web" w:hAnsi="Titillium Web"/>
          <w:sz w:val="26"/>
          <w:szCs w:val="26"/>
        </w:rPr>
        <w:t xml:space="preserve"> 035.6321111 interno 2</w:t>
      </w:r>
    </w:p>
    <w:p w14:paraId="1E9EA33B" w14:textId="35E6CF90" w:rsidR="00003A62" w:rsidRPr="00EC3922" w:rsidRDefault="00003A62" w:rsidP="00003A62">
      <w:pPr>
        <w:spacing w:line="360" w:lineRule="auto"/>
        <w:jc w:val="both"/>
        <w:rPr>
          <w:rFonts w:ascii="Titillium Web" w:hAnsi="Titillium Web"/>
          <w:sz w:val="26"/>
          <w:szCs w:val="26"/>
        </w:rPr>
      </w:pPr>
      <w:r w:rsidRPr="00981EF9">
        <w:rPr>
          <w:rFonts w:ascii="Titillium Web" w:hAnsi="Titillium Web"/>
          <w:b/>
          <w:bCs/>
          <w:sz w:val="26"/>
          <w:szCs w:val="26"/>
        </w:rPr>
        <w:t xml:space="preserve">E-mail: </w:t>
      </w:r>
      <w:hyperlink r:id="rId6" w:history="1">
        <w:r w:rsidRPr="00981EF9">
          <w:rPr>
            <w:rStyle w:val="Collegamentoipertestuale"/>
            <w:rFonts w:ascii="Titillium Web" w:hAnsi="Titillium Web"/>
            <w:color w:val="0070C0"/>
            <w:sz w:val="26"/>
            <w:szCs w:val="26"/>
          </w:rPr>
          <w:t>anagrafe@comune.villadalme.bg.it</w:t>
        </w:r>
      </w:hyperlink>
    </w:p>
    <w:sectPr w:rsidR="00003A62" w:rsidRPr="00EC392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eb">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667A"/>
    <w:multiLevelType w:val="multilevel"/>
    <w:tmpl w:val="495C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C0207"/>
    <w:multiLevelType w:val="multilevel"/>
    <w:tmpl w:val="E5B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0875A6"/>
    <w:multiLevelType w:val="multilevel"/>
    <w:tmpl w:val="4B0C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379A2"/>
    <w:multiLevelType w:val="multilevel"/>
    <w:tmpl w:val="3394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92B92"/>
    <w:multiLevelType w:val="multilevel"/>
    <w:tmpl w:val="8572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9851A0"/>
    <w:multiLevelType w:val="multilevel"/>
    <w:tmpl w:val="4CAC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990480">
    <w:abstractNumId w:val="4"/>
  </w:num>
  <w:num w:numId="2" w16cid:durableId="815337041">
    <w:abstractNumId w:val="2"/>
  </w:num>
  <w:num w:numId="3" w16cid:durableId="2030568669">
    <w:abstractNumId w:val="3"/>
  </w:num>
  <w:num w:numId="4" w16cid:durableId="1449549044">
    <w:abstractNumId w:val="0"/>
  </w:num>
  <w:num w:numId="5" w16cid:durableId="992028700">
    <w:abstractNumId w:val="5"/>
  </w:num>
  <w:num w:numId="6" w16cid:durableId="103159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BB8"/>
    <w:rsid w:val="00003A62"/>
    <w:rsid w:val="002C2E21"/>
    <w:rsid w:val="003662EC"/>
    <w:rsid w:val="003725B0"/>
    <w:rsid w:val="00494D64"/>
    <w:rsid w:val="00510176"/>
    <w:rsid w:val="00543408"/>
    <w:rsid w:val="00890D54"/>
    <w:rsid w:val="008F456B"/>
    <w:rsid w:val="00AF3BB8"/>
    <w:rsid w:val="00BC48AE"/>
    <w:rsid w:val="00D829B3"/>
    <w:rsid w:val="00E07C58"/>
    <w:rsid w:val="00EC3922"/>
    <w:rsid w:val="00FA29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FDE5"/>
  <w15:chartTrackingRefBased/>
  <w15:docId w15:val="{49126A63-A863-44A2-AD66-AE42C113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F3BB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F3BB8"/>
    <w:rPr>
      <w:b/>
      <w:bCs/>
    </w:rPr>
  </w:style>
  <w:style w:type="character" w:styleId="Collegamentoipertestuale">
    <w:name w:val="Hyperlink"/>
    <w:basedOn w:val="Carpredefinitoparagrafo"/>
    <w:uiPriority w:val="99"/>
    <w:unhideWhenUsed/>
    <w:rsid w:val="00AF3BB8"/>
    <w:rPr>
      <w:color w:val="0000FF"/>
      <w:u w:val="single"/>
    </w:rPr>
  </w:style>
  <w:style w:type="character" w:styleId="Menzionenonrisolta">
    <w:name w:val="Unresolved Mention"/>
    <w:basedOn w:val="Carpredefinitoparagrafo"/>
    <w:uiPriority w:val="99"/>
    <w:semiHidden/>
    <w:unhideWhenUsed/>
    <w:rsid w:val="00FA2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53555">
      <w:bodyDiv w:val="1"/>
      <w:marLeft w:val="0"/>
      <w:marRight w:val="0"/>
      <w:marTop w:val="0"/>
      <w:marBottom w:val="0"/>
      <w:divBdr>
        <w:top w:val="none" w:sz="0" w:space="0" w:color="auto"/>
        <w:left w:val="none" w:sz="0" w:space="0" w:color="auto"/>
        <w:bottom w:val="none" w:sz="0" w:space="0" w:color="auto"/>
        <w:right w:val="none" w:sz="0" w:space="0" w:color="auto"/>
      </w:divBdr>
    </w:div>
    <w:div w:id="1593393891">
      <w:bodyDiv w:val="1"/>
      <w:marLeft w:val="0"/>
      <w:marRight w:val="0"/>
      <w:marTop w:val="0"/>
      <w:marBottom w:val="0"/>
      <w:divBdr>
        <w:top w:val="none" w:sz="0" w:space="0" w:color="auto"/>
        <w:left w:val="none" w:sz="0" w:space="0" w:color="auto"/>
        <w:bottom w:val="none" w:sz="0" w:space="0" w:color="auto"/>
        <w:right w:val="none" w:sz="0" w:space="0" w:color="auto"/>
      </w:divBdr>
      <w:divsChild>
        <w:div w:id="741100111">
          <w:marLeft w:val="0"/>
          <w:marRight w:val="0"/>
          <w:marTop w:val="0"/>
          <w:marBottom w:val="0"/>
          <w:divBdr>
            <w:top w:val="none" w:sz="0" w:space="0" w:color="auto"/>
            <w:left w:val="none" w:sz="0" w:space="0" w:color="auto"/>
            <w:bottom w:val="none" w:sz="0" w:space="0" w:color="auto"/>
            <w:right w:val="none" w:sz="0" w:space="0" w:color="auto"/>
          </w:divBdr>
        </w:div>
        <w:div w:id="346759941">
          <w:marLeft w:val="0"/>
          <w:marRight w:val="0"/>
          <w:marTop w:val="0"/>
          <w:marBottom w:val="0"/>
          <w:divBdr>
            <w:top w:val="none" w:sz="0" w:space="0" w:color="auto"/>
            <w:left w:val="none" w:sz="0" w:space="0" w:color="auto"/>
            <w:bottom w:val="none" w:sz="0" w:space="0" w:color="auto"/>
            <w:right w:val="none" w:sz="0" w:space="0" w:color="auto"/>
          </w:divBdr>
        </w:div>
        <w:div w:id="165096425">
          <w:marLeft w:val="0"/>
          <w:marRight w:val="0"/>
          <w:marTop w:val="0"/>
          <w:marBottom w:val="0"/>
          <w:divBdr>
            <w:top w:val="none" w:sz="0" w:space="0" w:color="auto"/>
            <w:left w:val="none" w:sz="0" w:space="0" w:color="auto"/>
            <w:bottom w:val="none" w:sz="0" w:space="0" w:color="auto"/>
            <w:right w:val="none" w:sz="0" w:space="0" w:color="auto"/>
          </w:divBdr>
        </w:div>
        <w:div w:id="757487064">
          <w:marLeft w:val="0"/>
          <w:marRight w:val="0"/>
          <w:marTop w:val="0"/>
          <w:marBottom w:val="0"/>
          <w:divBdr>
            <w:top w:val="none" w:sz="0" w:space="0" w:color="auto"/>
            <w:left w:val="none" w:sz="0" w:space="0" w:color="auto"/>
            <w:bottom w:val="none" w:sz="0" w:space="0" w:color="auto"/>
            <w:right w:val="none" w:sz="0" w:space="0" w:color="auto"/>
          </w:divBdr>
        </w:div>
        <w:div w:id="1792747807">
          <w:marLeft w:val="0"/>
          <w:marRight w:val="0"/>
          <w:marTop w:val="0"/>
          <w:marBottom w:val="0"/>
          <w:divBdr>
            <w:top w:val="none" w:sz="0" w:space="0" w:color="auto"/>
            <w:left w:val="none" w:sz="0" w:space="0" w:color="auto"/>
            <w:bottom w:val="none" w:sz="0" w:space="0" w:color="auto"/>
            <w:right w:val="none" w:sz="0" w:space="0" w:color="auto"/>
          </w:divBdr>
        </w:div>
        <w:div w:id="621427044">
          <w:marLeft w:val="0"/>
          <w:marRight w:val="0"/>
          <w:marTop w:val="0"/>
          <w:marBottom w:val="0"/>
          <w:divBdr>
            <w:top w:val="none" w:sz="0" w:space="0" w:color="auto"/>
            <w:left w:val="none" w:sz="0" w:space="0" w:color="auto"/>
            <w:bottom w:val="none" w:sz="0" w:space="0" w:color="auto"/>
            <w:right w:val="none" w:sz="0" w:space="0" w:color="auto"/>
          </w:divBdr>
        </w:div>
        <w:div w:id="1362585732">
          <w:marLeft w:val="0"/>
          <w:marRight w:val="0"/>
          <w:marTop w:val="0"/>
          <w:marBottom w:val="0"/>
          <w:divBdr>
            <w:top w:val="none" w:sz="0" w:space="0" w:color="auto"/>
            <w:left w:val="none" w:sz="0" w:space="0" w:color="auto"/>
            <w:bottom w:val="none" w:sz="0" w:space="0" w:color="auto"/>
            <w:right w:val="none" w:sz="0" w:space="0" w:color="auto"/>
          </w:divBdr>
        </w:div>
        <w:div w:id="476413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agrafe@comune.villadalme.bg.it" TargetMode="External"/><Relationship Id="rId5" Type="http://schemas.openxmlformats.org/officeDocument/2006/relationships/hyperlink" Target="mailto:anagrafe@comune.villadalme.b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629</Words>
  <Characters>3588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Minelli</dc:creator>
  <cp:keywords/>
  <dc:description/>
  <cp:lastModifiedBy>Sara Minelli</cp:lastModifiedBy>
  <cp:revision>12</cp:revision>
  <dcterms:created xsi:type="dcterms:W3CDTF">2023-03-15T06:48:00Z</dcterms:created>
  <dcterms:modified xsi:type="dcterms:W3CDTF">2023-03-22T12:13:00Z</dcterms:modified>
</cp:coreProperties>
</file>